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manuscript</w: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0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except for standardized ones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instrText xml:space="preserve"> HYPERLINK "mailto:editorialoffice@mrrjournal.net" </w:instrText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7BA4DB"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7BA4DB"/>
          <w:sz w:val="18"/>
          <w:szCs w:val="18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 (optional)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hint="eastAsia" w:ascii="Times New Roman" w:hAnsi="Times New Roman" w:cs="Times New Roman"/>
          <w:sz w:val="20"/>
          <w:szCs w:val="20"/>
        </w:rPr>
        <w:t xml:space="preserve"> (level 1 heading, level 2 heading, level 3 heading,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etc.</w:t>
      </w:r>
      <w:r>
        <w:rPr>
          <w:rFonts w:hint="eastAsia" w:ascii="Times New Roman" w:hAnsi="Times New Roman" w:cs="Times New Roman"/>
          <w:sz w:val="20"/>
          <w:szCs w:val="20"/>
        </w:rPr>
        <w:t>) to separate different cases or situations.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numPr>
          <w:ilvl w:val="0"/>
          <w:numId w:val="2"/>
        </w:numPr>
        <w:adjustRightInd w:val="0"/>
        <w:snapToGrid w:val="0"/>
        <w:spacing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bookmarkStart w:id="8" w:name="_GoBack"/>
      <w:bookmarkEnd w:id="8"/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4.4pt;width:7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 w:eastAsia="宋体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Notes for other forms of supplementary material: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rated file (mp4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Only English versions (max 500 MB) would be accepted;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Data: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bookmarkStart w:id="2" w:name="OLE_LINK18"/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eastAsia="宋体" w:cstheme="minorHAnsi"/>
          <w:color w:val="000000"/>
          <w:kern w:val="0"/>
          <w:sz w:val="19"/>
          <w:szCs w:val="19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at the end of manuscripts.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the text, reference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numbers should be placed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square brackets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and the corresponding references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are cited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eastAsia" w:eastAsia="宋体" w:cstheme="minorHAnsi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on the basis of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7BA4DB"/>
        </w:rPr>
        <w:fldChar w:fldCharType="begin"/>
      </w:r>
      <w:r>
        <w:rPr>
          <w:color w:val="7BA4DB"/>
        </w:rPr>
        <w:instrText xml:space="preserve"> HYPERLINK "http://www2.bg.am.poznan.pl/czasopisma/medicus.php?lang=eng" </w:instrText>
      </w:r>
      <w:r>
        <w:rPr>
          <w:color w:val="7BA4DB"/>
        </w:rPr>
        <w:fldChar w:fldCharType="separate"/>
      </w:r>
      <w:r>
        <w:rPr>
          <w:rFonts w:eastAsia="宋体" w:cstheme="minorHAnsi"/>
          <w:color w:val="73A5C2"/>
          <w:kern w:val="0"/>
          <w:sz w:val="19"/>
          <w:szCs w:val="19"/>
        </w:rPr>
        <w:t>Ind</w:t>
      </w:r>
      <w:r>
        <w:rPr>
          <w:rFonts w:eastAsia="宋体" w:cstheme="minorHAnsi"/>
          <w:color w:val="7BA4DB"/>
          <w:kern w:val="0"/>
          <w:sz w:val="19"/>
          <w:szCs w:val="19"/>
        </w:rPr>
        <w:t>ex Medicus</w:t>
      </w:r>
      <w:r>
        <w:rPr>
          <w:rFonts w:eastAsia="宋体" w:cstheme="minorHAnsi"/>
          <w:color w:val="7BA4DB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 Information from manuscripts accepted but not published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should be cited in the text as "Unpublished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m</w:t>
      </w:r>
      <w:r>
        <w:rPr>
          <w:rFonts w:eastAsia="宋体" w:cstheme="minorHAnsi"/>
          <w:color w:val="000000"/>
          <w:kern w:val="0"/>
          <w:sz w:val="19"/>
          <w:szCs w:val="19"/>
        </w:rPr>
        <w:t>aterial" with written permission from the source.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The names of journals should be italicized.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References should be described as follows, depending on the type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of work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>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eastAsia" w:eastAsia="宋体" w:cstheme="minorHAnsi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eastAsia="宋体" w:cstheme="minorHAnsi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2003;169(6):2257-61.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[</w:t>
            </w: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PMID: 12771764 DOI: 10.1097/01.ju.0000067940.76090.73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eastAsia" w:eastAsia="宋体" w:cstheme="minorHAnsi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Sherlock S, Dooley J. Diseases of the liver and billiary system. 9th ed. Oxford: Blackwell Sci Pub; 1993.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Book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c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color w:val="7BA4DB"/>
              </w:rPr>
              <w:fldChar w:fldCharType="begin"/>
            </w:r>
            <w:r>
              <w:rPr>
                <w:color w:val="7BA4DB"/>
              </w:rPr>
              <w:instrText xml:space="preserve"> HYPERLINK "https://www.fda.gov/NewsEvents/Newsroom/PressAnnouncements/ucm574058.htm" </w:instrText>
            </w:r>
            <w:r>
              <w:rPr>
                <w:color w:val="7BA4DB"/>
              </w:rPr>
              <w:fldChar w:fldCharType="separate"/>
            </w:r>
            <w:r>
              <w:rPr>
                <w:rFonts w:eastAsia="宋体" w:cstheme="minorHAnsi"/>
                <w:color w:val="7BA4DB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eastAsia="宋体" w:cstheme="minorHAnsi"/>
                <w:color w:val="7BA4DB"/>
                <w:kern w:val="0"/>
                <w:sz w:val="19"/>
                <w:szCs w:val="19"/>
              </w:rPr>
              <w:fldChar w:fldCharType="end"/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Unpublished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m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 xml:space="preserve"> U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S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A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widowControl/>
        <w:shd w:val="clear" w:color="auto" w:fill="FFFFFF"/>
        <w:spacing w:after="125" w:line="8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7BA4DB"/>
        </w:rPr>
        <w:fldChar w:fldCharType="begin"/>
      </w:r>
      <w:r>
        <w:rPr>
          <w:color w:val="7BA4DB"/>
        </w:rPr>
        <w:instrText xml:space="preserve"> HYPERLINK "https://www.nlm.nih.gov/bsd/uniform_requirements.html" </w:instrText>
      </w:r>
      <w:r>
        <w:rPr>
          <w:color w:val="7BA4DB"/>
        </w:rPr>
        <w:fldChar w:fldCharType="separate"/>
      </w:r>
      <w:r>
        <w:rPr>
          <w:rFonts w:eastAsia="宋体" w:cstheme="minorHAnsi"/>
          <w:color w:val="7BA4DB"/>
          <w:kern w:val="0"/>
          <w:sz w:val="19"/>
          <w:szCs w:val="19"/>
        </w:rPr>
        <w:t>U.S. National Library of Medicine</w:t>
      </w:r>
      <w:r>
        <w:rPr>
          <w:rFonts w:eastAsia="宋体" w:cstheme="minorHAnsi"/>
          <w:color w:val="7BA4DB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EndNote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to avoid typing mistakes and duplicated references.</w:t>
      </w:r>
      <w:bookmarkEnd w:id="2"/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rFonts w:hint="eastAsia" w:ascii="Microsoft YaHei UI" w:hAnsi="Microsoft YaHei UI" w:eastAsia="Microsoft YaHei UI" w:cs="Microsoft YaHei UI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  <w:lang w:val="en-US" w:eastAsia="zh-CN"/>
      </w:rPr>
      <w:t xml:space="preserve">   </w:t>
    </w:r>
    <w:r>
      <w:rPr>
        <w:rFonts w:hint="eastAsia"/>
        <w:b/>
        <w:bCs/>
        <w:color w:val="7BA4DB"/>
        <w:sz w:val="16"/>
        <w:szCs w:val="16"/>
        <w:lang w:val="en-US" w:eastAsia="zh-CN"/>
      </w:rPr>
      <w:t xml:space="preserve"> </w:t>
    </w:r>
    <w:r>
      <w:rPr>
        <w:rFonts w:hint="eastAsia" w:ascii="Microsoft YaHei UI" w:hAnsi="Microsoft YaHei UI" w:eastAsia="Microsoft YaHei UI" w:cs="Microsoft YaHei UI"/>
        <w:b/>
        <w:bCs/>
        <w:color w:val="7BA4DB"/>
        <w:sz w:val="16"/>
        <w:szCs w:val="16"/>
      </w:rPr>
      <w:fldChar w:fldCharType="begin"/>
    </w:r>
    <w:r>
      <w:rPr>
        <w:rFonts w:hint="eastAsia" w:ascii="Microsoft YaHei UI" w:hAnsi="Microsoft YaHei UI" w:eastAsia="Microsoft YaHei UI" w:cs="Microsoft YaHei UI"/>
        <w:b/>
        <w:bCs/>
        <w:color w:val="7BA4DB"/>
        <w:sz w:val="16"/>
        <w:szCs w:val="16"/>
      </w:rPr>
      <w:instrText xml:space="preserve"> HYPERLINK "http://mtodjournal.net/" </w:instrText>
    </w:r>
    <w:r>
      <w:rPr>
        <w:rFonts w:hint="eastAsia" w:ascii="Microsoft YaHei UI" w:hAnsi="Microsoft YaHei UI" w:eastAsia="Microsoft YaHei UI" w:cs="Microsoft YaHei UI"/>
        <w:b/>
        <w:bCs/>
        <w:color w:val="7BA4DB"/>
        <w:sz w:val="16"/>
        <w:szCs w:val="16"/>
      </w:rPr>
      <w:fldChar w:fldCharType="separate"/>
    </w:r>
    <w:r>
      <w:rPr>
        <w:rStyle w:val="14"/>
        <w:rFonts w:hint="eastAsia" w:ascii="Microsoft YaHei UI" w:hAnsi="Microsoft YaHei UI" w:eastAsia="Microsoft YaHei UI" w:cs="Microsoft YaHei UI"/>
        <w:b/>
        <w:bCs/>
        <w:color w:val="7BA4DB"/>
        <w:sz w:val="16"/>
        <w:szCs w:val="16"/>
      </w:rPr>
      <w:t>www.m</w:t>
    </w:r>
    <w:r>
      <w:rPr>
        <w:rStyle w:val="14"/>
        <w:rFonts w:hint="eastAsia" w:ascii="Microsoft YaHei UI" w:hAnsi="Microsoft YaHei UI" w:eastAsia="Microsoft YaHei UI" w:cs="Microsoft YaHei UI"/>
        <w:b/>
        <w:bCs/>
        <w:color w:val="7BA4DB"/>
        <w:sz w:val="16"/>
        <w:szCs w:val="16"/>
        <w:lang w:val="en-US" w:eastAsia="zh-CN"/>
      </w:rPr>
      <w:t>rr</w:t>
    </w:r>
    <w:r>
      <w:rPr>
        <w:rStyle w:val="14"/>
        <w:rFonts w:hint="eastAsia" w:ascii="Microsoft YaHei UI" w:hAnsi="Microsoft YaHei UI" w:eastAsia="Microsoft YaHei UI" w:cs="Microsoft YaHei UI"/>
        <w:b/>
        <w:bCs/>
        <w:color w:val="7BA4DB"/>
        <w:sz w:val="16"/>
        <w:szCs w:val="16"/>
      </w:rPr>
      <w:t>journal.net</w:t>
    </w:r>
    <w:r>
      <w:rPr>
        <w:rFonts w:hint="eastAsia" w:ascii="Microsoft YaHei UI" w:hAnsi="Microsoft YaHei UI" w:eastAsia="Microsoft YaHei UI" w:cs="Microsoft YaHei UI"/>
        <w:b/>
        <w:bCs/>
        <w:color w:val="7BA4DB"/>
        <w:sz w:val="16"/>
        <w:szCs w:val="16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    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</w:t>
    </w:r>
    <w:r>
      <w:rPr>
        <w:rFonts w:hint="eastAsia" w:ascii="Times New Roman" w:hAnsi="Times New Roman" w:cs="Times New Roman"/>
        <w:sz w:val="14"/>
        <w:szCs w:val="14"/>
      </w:rPr>
      <w:t xml:space="preserve">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Microbiome Res Rep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mrr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Microbiome Res Rep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mrr</w:t>
    </w:r>
    <w:r>
      <w:rPr>
        <w:rFonts w:ascii="Times New Roman" w:hAnsi="Times New Roman" w:cs="Times New Roman"/>
        <w:sz w:val="14"/>
        <w:szCs w:val="14"/>
      </w:rPr>
      <w:t>.xxxx.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 xml:space="preserve">   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</w:t>
    </w:r>
    <w:r>
      <w:rPr>
        <w:rFonts w:hint="eastAsia"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3" w:name="OLE_LINK5"/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-57785</wp:posOffset>
              </wp:positionV>
              <wp:extent cx="2007235" cy="48260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7235" cy="482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jc w:val="left"/>
                            <w:textAlignment w:val="auto"/>
                            <w:rPr>
                              <w:rFonts w:ascii="Arial" w:hAnsi="Arial"/>
                              <w:b/>
                              <w:color w:val="7BA4D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Arial" w:hAnsi="Arial"/>
                              <w:b/>
                              <w:color w:val="7BA4DB"/>
                              <w:sz w:val="26"/>
                              <w:szCs w:val="26"/>
                            </w:rPr>
                            <w:t>Microbiome</w:t>
                          </w:r>
                          <w:r>
                            <w:rPr>
                              <w:rFonts w:hint="eastAsia" w:ascii="Arial" w:hAnsi="Arial"/>
                              <w:b/>
                              <w:color w:val="7BA4DB"/>
                              <w:sz w:val="26"/>
                              <w:szCs w:val="2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Arial" w:hAnsi="Arial"/>
                              <w:b/>
                              <w:color w:val="7BA4DB"/>
                              <w:sz w:val="26"/>
                              <w:szCs w:val="26"/>
                            </w:rPr>
                            <w:t>Research Reports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70.85pt;margin-top:-4.55pt;height:38pt;width:158.05pt;z-index:-251653120;mso-width-relative:page;mso-height-relative:page;" filled="f" stroked="f" coordsize="21600,21600" o:allowincell="f" o:gfxdata="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iKkdC&#10;2AAAAAkBAAAPAAAAAAAAAAEAIAAAACIAAABkcnMvZG93bnJldi54bWxQSwECFAAUAAAACACHTuJA&#10;00oGNK8BAABZAwAADgAAAAAAAAABACAAAAAnAQAAZHJzL2Uyb0RvYy54bWxQSwUGAAAAAAYABgBZ&#10;AQAAS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jc w:val="left"/>
                      <w:textAlignment w:val="auto"/>
                      <w:rPr>
                        <w:rFonts w:ascii="Arial" w:hAnsi="Arial"/>
                        <w:b/>
                        <w:color w:val="7BA4DB"/>
                        <w:sz w:val="26"/>
                        <w:szCs w:val="26"/>
                      </w:rPr>
                    </w:pPr>
                    <w:r>
                      <w:rPr>
                        <w:rFonts w:hint="eastAsia" w:ascii="Arial" w:hAnsi="Arial"/>
                        <w:b/>
                        <w:color w:val="7BA4DB"/>
                        <w:sz w:val="26"/>
                        <w:szCs w:val="26"/>
                      </w:rPr>
                      <w:t>Microbiome</w:t>
                    </w:r>
                    <w:r>
                      <w:rPr>
                        <w:rFonts w:hint="eastAsia" w:ascii="Arial" w:hAnsi="Arial"/>
                        <w:b/>
                        <w:color w:val="7BA4DB"/>
                        <w:sz w:val="26"/>
                        <w:szCs w:val="2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Arial" w:hAnsi="Arial"/>
                        <w:b/>
                        <w:color w:val="7BA4DB"/>
                        <w:sz w:val="26"/>
                        <w:szCs w:val="26"/>
                      </w:rPr>
                      <w:t>Research Reports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Microbiome Res Rep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mrr</w:t>
    </w:r>
    <w:r>
      <w:rPr>
        <w:rFonts w:ascii="Times New Roman" w:hAnsi="Times New Roman" w:cs="Times New Roman"/>
        <w:sz w:val="16"/>
        <w:szCs w:val="16"/>
      </w:rPr>
      <w:t>.xxxx.xx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D5EBD"/>
    <w:rsid w:val="00172A27"/>
    <w:rsid w:val="0019510B"/>
    <w:rsid w:val="0027022E"/>
    <w:rsid w:val="00273491"/>
    <w:rsid w:val="002B1DD8"/>
    <w:rsid w:val="002C4841"/>
    <w:rsid w:val="00331E76"/>
    <w:rsid w:val="00336E90"/>
    <w:rsid w:val="003608FF"/>
    <w:rsid w:val="003B627D"/>
    <w:rsid w:val="00423880"/>
    <w:rsid w:val="004720C8"/>
    <w:rsid w:val="00497675"/>
    <w:rsid w:val="004F52CE"/>
    <w:rsid w:val="005570D9"/>
    <w:rsid w:val="00626AC1"/>
    <w:rsid w:val="00637595"/>
    <w:rsid w:val="006D114E"/>
    <w:rsid w:val="007D1FD5"/>
    <w:rsid w:val="008075EB"/>
    <w:rsid w:val="00842C21"/>
    <w:rsid w:val="00870F64"/>
    <w:rsid w:val="008A495C"/>
    <w:rsid w:val="008C6E70"/>
    <w:rsid w:val="00921419"/>
    <w:rsid w:val="0099472E"/>
    <w:rsid w:val="00A37A37"/>
    <w:rsid w:val="00A839C4"/>
    <w:rsid w:val="00AB30A6"/>
    <w:rsid w:val="00AC331A"/>
    <w:rsid w:val="00B42AC5"/>
    <w:rsid w:val="00B74EF5"/>
    <w:rsid w:val="00B82D76"/>
    <w:rsid w:val="00BB3538"/>
    <w:rsid w:val="00BF360F"/>
    <w:rsid w:val="00C5076C"/>
    <w:rsid w:val="00C6365E"/>
    <w:rsid w:val="00CA2500"/>
    <w:rsid w:val="00D16246"/>
    <w:rsid w:val="00D3563D"/>
    <w:rsid w:val="00D91F45"/>
    <w:rsid w:val="00D92680"/>
    <w:rsid w:val="00DF5C43"/>
    <w:rsid w:val="00E31605"/>
    <w:rsid w:val="00E50C42"/>
    <w:rsid w:val="00EA21CF"/>
    <w:rsid w:val="00EC0434"/>
    <w:rsid w:val="00ED36DC"/>
    <w:rsid w:val="00EE548B"/>
    <w:rsid w:val="00F226DE"/>
    <w:rsid w:val="00F27972"/>
    <w:rsid w:val="00F319F6"/>
    <w:rsid w:val="00F37CB8"/>
    <w:rsid w:val="00F47B1E"/>
    <w:rsid w:val="00FA6414"/>
    <w:rsid w:val="00FC4246"/>
    <w:rsid w:val="00FC5472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234CF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C639A3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E0406E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1FD701C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7E3D4F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3B0A21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30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0">
    <w:name w:val="批注主题 Char"/>
    <w:basedOn w:val="29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31">
    <w:name w:val="页脚1"/>
    <w:basedOn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2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3968"/>
        <c:axId val="190156736"/>
      </c:barChart>
      <c:catAx>
        <c:axId val="1908039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156736"/>
        <c:crosses val="autoZero"/>
        <c:auto val="1"/>
        <c:lblAlgn val="ctr"/>
        <c:lblOffset val="100"/>
        <c:tickLblSkip val="1"/>
        <c:noMultiLvlLbl val="0"/>
      </c:catAx>
      <c:valAx>
        <c:axId val="19015673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80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1291</Words>
  <Characters>7361</Characters>
  <Lines>61</Lines>
  <Paragraphs>17</Paragraphs>
  <TotalTime>2</TotalTime>
  <ScaleCrop>false</ScaleCrop>
  <LinksUpToDate>false</LinksUpToDate>
  <CharactersWithSpaces>8635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.</cp:lastModifiedBy>
  <dcterms:modified xsi:type="dcterms:W3CDTF">2021-07-06T02:25:14Z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2137A000ED4A43DB820BF711B60B645E</vt:lpwstr>
  </property>
</Properties>
</file>