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Meta-Analysis/Systematic 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except for standardized ones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 xml:space="preserve">1 Jan </w:t>
      </w:r>
      <w:r>
        <w:rPr>
          <w:rFonts w:hint="eastAsia" w:ascii="Times New Roman" w:hAnsi="Times New Roman" w:eastAsia="宋体" w:cs="Times New Roman"/>
          <w:iCs/>
          <w:color w:val="7F7F7F" w:themeColor="background1" w:themeShade="80"/>
          <w:kern w:val="0"/>
          <w:sz w:val="18"/>
          <w:szCs w:val="18"/>
          <w:lang w:eastAsia="zh-CN"/>
        </w:rPr>
        <w:t>2023</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Meta-Analysis/Systematic 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which</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fldChar w:fldCharType="begin"/>
      </w:r>
      <w:r>
        <w:instrText xml:space="preserve"> HYPERLINK "mailto:par_editor001@parjournal.net" </w:instrText>
      </w:r>
      <w:r>
        <w:fldChar w:fldCharType="separate"/>
      </w:r>
      <w:r>
        <w:rPr>
          <w:rStyle w:val="13"/>
          <w:rFonts w:hint="eastAsia" w:ascii="Times New Roman" w:hAnsi="Times New Roman" w:cs="Times New Roman"/>
          <w:b/>
          <w:bCs/>
          <w:i/>
          <w:color w:val="7F7F7F" w:themeColor="background1" w:themeShade="80"/>
          <w:sz w:val="18"/>
          <w:szCs w:val="18"/>
        </w:rPr>
        <w:t>par_editor001@parjournal.net</w:t>
      </w:r>
      <w:r>
        <w:rPr>
          <w:rStyle w:val="13"/>
          <w:rFonts w:hint="eastAsia"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hint="eastAsia" w:ascii="Times New Roman" w:hAnsi="Times New Roman" w:cs="Times New Roman"/>
          <w:sz w:val="20"/>
          <w:szCs w:val="20"/>
        </w:rPr>
        <w:t>for example, authors may describe how they compare, summarize or analysis data</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w:t>
      </w:r>
      <w:r>
        <w:rPr>
          <w:rFonts w:hint="eastAsia" w:ascii="Times New Roman" w:hAnsi="Times New Roman" w:cs="Times New Roman"/>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rPr>
        <w:t>Morbidity</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hint="eastAsia"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sz w:val="20"/>
          <w:szCs w:val="20"/>
        </w:rPr>
        <w:t xml:space="preserve">DNA, </w:t>
      </w:r>
      <w:r>
        <w:rPr>
          <w:rFonts w:hint="eastAsia" w:ascii="Times New Roman" w:hAnsi="Times New Roman" w:cs="Times New Roman"/>
          <w:sz w:val="20"/>
          <w:szCs w:val="20"/>
        </w:rPr>
        <w:t xml:space="preserve">contrast, meta-analysis,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hint="eastAsia" w:ascii="Times New Roman" w:hAnsi="Times New Roman" w:cs="Times New Roman"/>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hint="eastAsia" w:ascii="Times New Roman" w:hAnsi="Times New Roman" w:cs="Times New Roman"/>
          <w:sz w:val="20"/>
          <w:szCs w:val="20"/>
        </w:rPr>
        <w:t>know more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Search strategy</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hint="eastAsia" w:ascii="Times New Roman" w:hAnsi="Times New Roman" w:eastAsia="宋体" w:cs="Times New Roman"/>
          <w:i/>
          <w:color w:val="7F7F7F" w:themeColor="background1" w:themeShade="80"/>
          <w:kern w:val="0"/>
          <w:sz w:val="18"/>
          <w:szCs w:val="18"/>
        </w:rPr>
        <w:t>Data extraction, synthesis and analysis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3"/>
          <w:rFonts w:ascii="Times New Roman" w:hAnsi="Times New Roman" w:cs="Times New Roman"/>
          <w:b/>
          <w:bCs/>
          <w:i/>
          <w:iCs/>
          <w:color w:val="7F7F7F" w:themeColor="background1" w:themeShade="80"/>
          <w:sz w:val="18"/>
          <w:szCs w:val="18"/>
        </w:rPr>
        <w:t>http://www.wma.net/en/30publications/10policies/b3/</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hint="eastAsia" w:ascii="Times New Roman" w:hAnsi="Times New Roman" w:cs="Times New Roman"/>
          <w:sz w:val="20"/>
          <w:szCs w:val="20"/>
        </w:rPr>
        <w:t>description of statistics</w:t>
      </w:r>
      <w:r>
        <w:rPr>
          <w:rFonts w:ascii="Times New Roman" w:hAnsi="Times New Roman" w:cs="Times New Roman"/>
          <w:sz w:val="20"/>
          <w:szCs w:val="20"/>
        </w:rPr>
        <w:t xml:space="preserve">, analysis, </w:t>
      </w:r>
      <w:r>
        <w:rPr>
          <w:rFonts w:hint="eastAsia" w:ascii="Times New Roman" w:hAnsi="Times New Roman" w:cs="Times New Roman"/>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"http://www.oaepublish.com/files/tpl/par/Template_for_Supplementary_Material_par.docx" </w:instrText>
      </w:r>
      <w:r>
        <w:fldChar w:fldCharType="separate"/>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1256"/>
        <w:gridCol w:w="1211"/>
        <w:gridCol w:w="1159"/>
        <w:gridCol w:w="1179"/>
        <w:gridCol w:w="913"/>
        <w:gridCol w:w="1250"/>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392"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Ref.</w:t>
            </w:r>
          </w:p>
        </w:tc>
        <w:tc>
          <w:tcPr>
            <w:tcW w:w="125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Country</w:t>
            </w:r>
          </w:p>
        </w:tc>
        <w:tc>
          <w:tcPr>
            <w:tcW w:w="121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val="0"/>
                <w:sz w:val="18"/>
                <w:szCs w:val="18"/>
                <w:lang w:val="de-DE" w:eastAsia="zh-CN"/>
              </w:rPr>
              <w:t>Study type</w:t>
            </w:r>
          </w:p>
        </w:tc>
        <w:tc>
          <w:tcPr>
            <w:tcW w:w="1159"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Years of study</w:t>
            </w:r>
          </w:p>
        </w:tc>
        <w:tc>
          <w:tcPr>
            <w:tcW w:w="1179"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Group</w:t>
            </w:r>
          </w:p>
        </w:tc>
        <w:tc>
          <w:tcPr>
            <w:tcW w:w="913"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Sample size</w:t>
            </w:r>
          </w:p>
        </w:tc>
        <w:tc>
          <w:tcPr>
            <w:tcW w:w="1250"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392" w:type="dxa"/>
            <w:vMerge w:val="restart"/>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Boyle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r>
              <w:rPr>
                <w:rFonts w:hint="eastAsia" w:ascii="Times New Roman" w:hAnsi="Times New Roman" w:cs="Times New Roman" w:eastAsiaTheme="minorEastAsia"/>
                <w:sz w:val="18"/>
                <w:szCs w:val="18"/>
                <w:lang w:val="de-DE" w:eastAsia="zh-CN"/>
              </w:rPr>
              <w:t>, 1983</w:t>
            </w:r>
          </w:p>
        </w:tc>
        <w:tc>
          <w:tcPr>
            <w:tcW w:w="1256" w:type="dxa"/>
            <w:vMerge w:val="restart"/>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United States</w:t>
            </w:r>
          </w:p>
        </w:tc>
        <w:tc>
          <w:tcPr>
            <w:tcW w:w="1211" w:type="dxa"/>
            <w:vMerge w:val="restart"/>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1977-1981</w:t>
            </w:r>
          </w:p>
        </w:tc>
        <w:tc>
          <w:tcPr>
            <w:tcW w:w="1179"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Control</w:t>
            </w:r>
          </w:p>
        </w:tc>
        <w:tc>
          <w:tcPr>
            <w:tcW w:w="91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540</w:t>
            </w:r>
          </w:p>
        </w:tc>
        <w:tc>
          <w:tcPr>
            <w:tcW w:w="1250"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54 </w:t>
            </w:r>
            <w:bookmarkStart w:id="2" w:name="OLE_LINK3"/>
            <w:r>
              <w:rPr>
                <w:rFonts w:ascii="Times New Roman" w:hAnsi="Times New Roman" w:cs="Times New Roman" w:eastAsiaTheme="minorEastAsia"/>
                <w:sz w:val="18"/>
                <w:szCs w:val="18"/>
                <w:lang w:val="de-DE" w:eastAsia="zh-CN"/>
              </w:rPr>
              <w:t>±</w:t>
            </w:r>
            <w:bookmarkEnd w:id="2"/>
            <w:r>
              <w:rPr>
                <w:rFonts w:hint="eastAsia" w:ascii="Times New Roman" w:hAnsi="Times New Roman" w:cs="Times New Roman" w:eastAsiaTheme="minorEastAsia"/>
                <w:sz w:val="18"/>
                <w:szCs w:val="18"/>
                <w:lang w:val="de-DE" w:eastAsia="zh-CN"/>
              </w:rPr>
              <w:t xml:space="preserve"> 2</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392" w:type="dxa"/>
            <w:vMerge w:val="continue"/>
            <w:vAlign w:val="center"/>
          </w:tcPr>
          <w:p>
            <w:pPr>
              <w:pStyle w:val="20"/>
              <w:spacing w:line="360" w:lineRule="auto"/>
              <w:jc w:val="left"/>
              <w:rPr>
                <w:lang w:val="de-DE"/>
              </w:rPr>
            </w:pPr>
          </w:p>
        </w:tc>
        <w:tc>
          <w:tcPr>
            <w:tcW w:w="1256" w:type="dxa"/>
            <w:vMerge w:val="continue"/>
            <w:vAlign w:val="center"/>
          </w:tcPr>
          <w:p>
            <w:pPr>
              <w:pStyle w:val="20"/>
              <w:spacing w:line="360" w:lineRule="auto"/>
              <w:jc w:val="left"/>
              <w:rPr>
                <w:lang w:val="de-DE"/>
              </w:rPr>
            </w:pPr>
          </w:p>
        </w:tc>
        <w:tc>
          <w:tcPr>
            <w:tcW w:w="1211" w:type="dxa"/>
            <w:vMerge w:val="continue"/>
            <w:vAlign w:val="center"/>
          </w:tcPr>
          <w:p>
            <w:pPr>
              <w:pStyle w:val="20"/>
              <w:spacing w:line="360" w:lineRule="auto"/>
              <w:jc w:val="left"/>
              <w:rPr>
                <w:lang w:val="de-DE"/>
              </w:rPr>
            </w:pPr>
          </w:p>
        </w:tc>
        <w:tc>
          <w:tcPr>
            <w:tcW w:w="1159" w:type="dxa"/>
            <w:vMerge w:val="continue"/>
            <w:vAlign w:val="center"/>
          </w:tcPr>
          <w:p>
            <w:pPr>
              <w:pStyle w:val="20"/>
              <w:spacing w:line="360" w:lineRule="auto"/>
              <w:jc w:val="left"/>
              <w:rPr>
                <w:lang w:val="de-DE"/>
              </w:rPr>
            </w:pPr>
          </w:p>
        </w:tc>
        <w:tc>
          <w:tcPr>
            <w:tcW w:w="1179"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CKD (mix)</w:t>
            </w:r>
          </w:p>
        </w:tc>
        <w:tc>
          <w:tcPr>
            <w:tcW w:w="91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720</w:t>
            </w:r>
          </w:p>
        </w:tc>
        <w:tc>
          <w:tcPr>
            <w:tcW w:w="1250"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59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Tsai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r>
              <w:rPr>
                <w:rFonts w:hint="eastAsia" w:ascii="Times New Roman" w:hAnsi="Times New Roman" w:cs="Times New Roman" w:eastAsiaTheme="minorEastAsia"/>
                <w:sz w:val="18"/>
                <w:szCs w:val="18"/>
                <w:lang w:val="de-DE" w:eastAsia="zh-CN"/>
              </w:rPr>
              <w:t>, 1996</w:t>
            </w:r>
          </w:p>
        </w:tc>
        <w:tc>
          <w:tcPr>
            <w:tcW w:w="1256" w:type="dxa"/>
            <w:vMerge w:val="restart"/>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Taiwan</w:t>
            </w:r>
          </w:p>
        </w:tc>
        <w:tc>
          <w:tcPr>
            <w:tcW w:w="1211" w:type="dxa"/>
            <w:vMerge w:val="restart"/>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Prospective</w:t>
            </w:r>
          </w:p>
        </w:tc>
        <w:tc>
          <w:tcPr>
            <w:tcW w:w="1159" w:type="dxa"/>
            <w:vMerge w:val="restart"/>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1991-1994</w:t>
            </w:r>
          </w:p>
        </w:tc>
        <w:tc>
          <w:tcPr>
            <w:tcW w:w="1179"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640</w:t>
            </w:r>
          </w:p>
        </w:tc>
        <w:tc>
          <w:tcPr>
            <w:tcW w:w="12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55.7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16.2</w:t>
            </w:r>
            <w:bookmarkStart w:id="3" w:name="OLE_LINK2"/>
            <w:r>
              <w:rPr>
                <w:rFonts w:ascii="Times New Roman" w:hAnsi="Times New Roman" w:eastAsia="宋体" w:cs="Times New Roman"/>
                <w:bCs/>
                <w:sz w:val="16"/>
                <w:szCs w:val="16"/>
                <w:vertAlign w:val="superscript"/>
                <w:lang w:val="de-DE"/>
              </w:rPr>
              <w:t>#</w:t>
            </w:r>
            <w:bookmarkEnd w:id="3"/>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20"/>
              <w:spacing w:line="360" w:lineRule="auto"/>
              <w:jc w:val="left"/>
              <w:rPr>
                <w:lang w:val="de-DE"/>
              </w:rPr>
            </w:pPr>
          </w:p>
        </w:tc>
        <w:tc>
          <w:tcPr>
            <w:tcW w:w="1256" w:type="dxa"/>
            <w:vMerge w:val="continue"/>
            <w:vAlign w:val="center"/>
          </w:tcPr>
          <w:p>
            <w:pPr>
              <w:pStyle w:val="20"/>
              <w:spacing w:line="360" w:lineRule="auto"/>
              <w:jc w:val="left"/>
              <w:rPr>
                <w:lang w:val="de-DE"/>
              </w:rPr>
            </w:pPr>
          </w:p>
        </w:tc>
        <w:tc>
          <w:tcPr>
            <w:tcW w:w="1211" w:type="dxa"/>
            <w:vMerge w:val="continue"/>
            <w:vAlign w:val="center"/>
          </w:tcPr>
          <w:p>
            <w:pPr>
              <w:pStyle w:val="20"/>
              <w:spacing w:line="360" w:lineRule="auto"/>
              <w:jc w:val="left"/>
              <w:rPr>
                <w:lang w:val="de-DE"/>
              </w:rPr>
            </w:pPr>
          </w:p>
        </w:tc>
        <w:tc>
          <w:tcPr>
            <w:tcW w:w="1159" w:type="dxa"/>
            <w:vMerge w:val="continue"/>
            <w:vAlign w:val="center"/>
          </w:tcPr>
          <w:p>
            <w:pPr>
              <w:pStyle w:val="20"/>
              <w:spacing w:line="360" w:lineRule="auto"/>
              <w:jc w:val="left"/>
              <w:rPr>
                <w:lang w:val="de-DE"/>
              </w:rPr>
            </w:pPr>
          </w:p>
        </w:tc>
        <w:tc>
          <w:tcPr>
            <w:tcW w:w="1179"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5658</w:t>
            </w:r>
          </w:p>
        </w:tc>
        <w:tc>
          <w:tcPr>
            <w:tcW w:w="12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64.1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11.4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20"/>
              <w:spacing w:line="360" w:lineRule="auto"/>
              <w:jc w:val="left"/>
              <w:rPr>
                <w:lang w:val="de-DE"/>
              </w:rPr>
            </w:pPr>
            <w:r>
              <w:rPr>
                <w:rFonts w:hint="eastAsia" w:ascii="Times New Roman" w:hAnsi="Times New Roman" w:cs="Times New Roman" w:eastAsiaTheme="minorEastAsia"/>
                <w:sz w:val="18"/>
                <w:szCs w:val="18"/>
                <w:lang w:val="de-DE" w:eastAsia="zh-CN"/>
              </w:rPr>
              <w:t xml:space="preserve">Cheung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[3]</w:t>
            </w:r>
            <w:r>
              <w:rPr>
                <w:rFonts w:hint="eastAsia" w:ascii="Times New Roman" w:hAnsi="Times New Roman" w:cs="Times New Roman" w:eastAsiaTheme="minorEastAsia"/>
                <w:sz w:val="18"/>
                <w:szCs w:val="18"/>
                <w:lang w:val="de-DE" w:eastAsia="zh-CN"/>
              </w:rPr>
              <w:t>, 2010</w:t>
            </w:r>
          </w:p>
        </w:tc>
        <w:tc>
          <w:tcPr>
            <w:tcW w:w="1256" w:type="dxa"/>
            <w:vMerge w:val="restart"/>
            <w:vAlign w:val="center"/>
          </w:tcPr>
          <w:p>
            <w:pPr>
              <w:pStyle w:val="20"/>
              <w:spacing w:line="360" w:lineRule="auto"/>
              <w:jc w:val="left"/>
              <w:rPr>
                <w:rFonts w:eastAsia="宋体"/>
                <w:lang w:val="de-DE" w:eastAsia="zh-CN"/>
              </w:rPr>
            </w:pPr>
            <w:r>
              <w:rPr>
                <w:rFonts w:hint="eastAsia" w:ascii="Times New Roman" w:hAnsi="Times New Roman" w:cs="Times New Roman" w:eastAsiaTheme="minorEastAsia"/>
                <w:sz w:val="18"/>
                <w:szCs w:val="18"/>
                <w:lang w:val="de-DE" w:eastAsia="zh-CN"/>
              </w:rPr>
              <w:t>Canada</w:t>
            </w:r>
          </w:p>
        </w:tc>
        <w:tc>
          <w:tcPr>
            <w:tcW w:w="1211" w:type="dxa"/>
            <w:vMerge w:val="restart"/>
            <w:vAlign w:val="center"/>
          </w:tcPr>
          <w:p>
            <w:pPr>
              <w:pStyle w:val="20"/>
              <w:spacing w:line="360" w:lineRule="auto"/>
              <w:jc w:val="left"/>
              <w:rPr>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20"/>
              <w:spacing w:line="360" w:lineRule="auto"/>
              <w:jc w:val="left"/>
              <w:rPr>
                <w:lang w:val="de-DE"/>
              </w:rPr>
            </w:pPr>
            <w:r>
              <w:rPr>
                <w:rFonts w:hint="eastAsia" w:ascii="Times New Roman" w:hAnsi="Times New Roman" w:eastAsia="宋体" w:cs="Times New Roman"/>
                <w:sz w:val="18"/>
                <w:szCs w:val="18"/>
                <w:lang w:val="de-DE" w:eastAsia="zh-CN"/>
              </w:rPr>
              <w:t>2000-2006</w:t>
            </w:r>
          </w:p>
        </w:tc>
        <w:tc>
          <w:tcPr>
            <w:tcW w:w="1179"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850</w:t>
            </w:r>
          </w:p>
        </w:tc>
        <w:tc>
          <w:tcPr>
            <w:tcW w:w="12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20"/>
              <w:spacing w:line="360" w:lineRule="auto"/>
              <w:jc w:val="left"/>
              <w:rPr>
                <w:lang w:val="de-DE"/>
              </w:rPr>
            </w:pPr>
          </w:p>
        </w:tc>
        <w:tc>
          <w:tcPr>
            <w:tcW w:w="1256" w:type="dxa"/>
            <w:vMerge w:val="continue"/>
            <w:vAlign w:val="center"/>
          </w:tcPr>
          <w:p>
            <w:pPr>
              <w:pStyle w:val="20"/>
              <w:spacing w:line="360" w:lineRule="auto"/>
              <w:jc w:val="left"/>
              <w:rPr>
                <w:lang w:val="de-DE"/>
              </w:rPr>
            </w:pPr>
          </w:p>
        </w:tc>
        <w:tc>
          <w:tcPr>
            <w:tcW w:w="1211" w:type="dxa"/>
            <w:vMerge w:val="continue"/>
            <w:vAlign w:val="center"/>
          </w:tcPr>
          <w:p>
            <w:pPr>
              <w:pStyle w:val="20"/>
              <w:spacing w:line="360" w:lineRule="auto"/>
              <w:jc w:val="left"/>
              <w:rPr>
                <w:lang w:val="de-DE"/>
              </w:rPr>
            </w:pPr>
          </w:p>
        </w:tc>
        <w:tc>
          <w:tcPr>
            <w:tcW w:w="1159" w:type="dxa"/>
            <w:vMerge w:val="continue"/>
            <w:vAlign w:val="center"/>
          </w:tcPr>
          <w:p>
            <w:pPr>
              <w:pStyle w:val="20"/>
              <w:spacing w:line="360" w:lineRule="auto"/>
              <w:jc w:val="left"/>
              <w:rPr>
                <w:lang w:val="de-DE"/>
              </w:rPr>
            </w:pPr>
          </w:p>
        </w:tc>
        <w:tc>
          <w:tcPr>
            <w:tcW w:w="1179"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CKD</w:t>
            </w:r>
          </w:p>
        </w:tc>
        <w:tc>
          <w:tcPr>
            <w:tcW w:w="91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250</w:t>
            </w:r>
          </w:p>
        </w:tc>
        <w:tc>
          <w:tcPr>
            <w:tcW w:w="12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71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392" w:type="dxa"/>
            <w:vMerge w:val="continue"/>
            <w:vAlign w:val="center"/>
          </w:tcPr>
          <w:p>
            <w:pPr>
              <w:pStyle w:val="20"/>
              <w:spacing w:line="360" w:lineRule="auto"/>
              <w:jc w:val="left"/>
              <w:rPr>
                <w:rFonts w:ascii="Times New Roman" w:hAnsi="Times New Roman" w:eastAsia="宋体" w:cs="Times New Roman"/>
                <w:sz w:val="18"/>
                <w:szCs w:val="18"/>
                <w:lang w:val="de-DE" w:eastAsia="zh-CN"/>
              </w:rPr>
            </w:pPr>
          </w:p>
        </w:tc>
        <w:tc>
          <w:tcPr>
            <w:tcW w:w="1256" w:type="dxa"/>
            <w:vMerge w:val="continue"/>
            <w:vAlign w:val="center"/>
          </w:tcPr>
          <w:p>
            <w:pPr>
              <w:pStyle w:val="20"/>
              <w:spacing w:line="360" w:lineRule="auto"/>
              <w:jc w:val="left"/>
              <w:rPr>
                <w:rFonts w:ascii="Times New Roman" w:hAnsi="Times New Roman" w:eastAsia="宋体" w:cs="Times New Roman"/>
                <w:sz w:val="18"/>
                <w:szCs w:val="18"/>
                <w:lang w:val="de-DE" w:eastAsia="zh-CN"/>
              </w:rPr>
            </w:pPr>
          </w:p>
        </w:tc>
        <w:tc>
          <w:tcPr>
            <w:tcW w:w="1211" w:type="dxa"/>
            <w:vMerge w:val="continue"/>
            <w:vAlign w:val="center"/>
          </w:tcPr>
          <w:p>
            <w:pPr>
              <w:pStyle w:val="20"/>
              <w:spacing w:line="360" w:lineRule="auto"/>
              <w:jc w:val="left"/>
              <w:rPr>
                <w:rFonts w:ascii="Times New Roman" w:hAnsi="Times New Roman" w:eastAsia="宋体" w:cs="Times New Roman"/>
                <w:sz w:val="18"/>
                <w:szCs w:val="18"/>
                <w:lang w:val="de-DE" w:eastAsia="zh-CN"/>
              </w:rPr>
            </w:pPr>
          </w:p>
        </w:tc>
        <w:tc>
          <w:tcPr>
            <w:tcW w:w="1159" w:type="dxa"/>
            <w:vMerge w:val="continue"/>
            <w:vAlign w:val="center"/>
          </w:tcPr>
          <w:p>
            <w:pPr>
              <w:pStyle w:val="20"/>
              <w:spacing w:line="360" w:lineRule="auto"/>
              <w:jc w:val="left"/>
              <w:rPr>
                <w:rFonts w:ascii="Times New Roman" w:hAnsi="Times New Roman" w:eastAsia="宋体" w:cs="Times New Roman"/>
                <w:sz w:val="18"/>
                <w:szCs w:val="18"/>
                <w:lang w:val="de-DE" w:eastAsia="zh-CN"/>
              </w:rPr>
            </w:pPr>
          </w:p>
        </w:tc>
        <w:tc>
          <w:tcPr>
            <w:tcW w:w="1179"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1650</w:t>
            </w:r>
          </w:p>
        </w:tc>
        <w:tc>
          <w:tcPr>
            <w:tcW w:w="12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68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12</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SEM (standard error of mean)</w:t>
      </w:r>
      <w:r>
        <w:rPr>
          <w:rFonts w:ascii="Times New Roman" w:hAnsi="Times New Roman" w:eastAsia="宋体" w:cs="Times New Roman"/>
          <w:bCs/>
          <w:color w:val="000000"/>
          <w:kern w:val="0"/>
          <w:sz w:val="16"/>
          <w:szCs w:val="16"/>
        </w:rPr>
        <w:t xml:space="preserve">,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SD (standard deviation)</w:t>
      </w:r>
      <w:r>
        <w:rPr>
          <w:rFonts w:ascii="Times New Roman" w:hAnsi="Times New Roman" w:eastAsia="宋体" w:cs="Times New Roman"/>
          <w:bCs/>
          <w:color w:val="000000"/>
          <w:kern w:val="0"/>
          <w:sz w:val="16"/>
          <w:szCs w:val="16"/>
        </w:rPr>
        <w:t>.</w:t>
      </w:r>
      <w:r>
        <w:rPr>
          <w:rFonts w:hint="eastAsia" w:ascii="Times New Roman" w:hAnsi="Times New Roman" w:eastAsia="宋体" w:cs="Times New Roman"/>
          <w:bCs/>
          <w:color w:val="000000"/>
          <w:kern w:val="0"/>
          <w:sz w:val="16"/>
          <w:szCs w:val="16"/>
        </w:rPr>
        <w:t xml:space="preserve"> CKD: chronic kidney disease; </w:t>
      </w:r>
      <w:r>
        <w:rPr>
          <w:rFonts w:hint="eastAsia" w:ascii="Times New Roman" w:hAnsi="Times New Roman" w:eastAsia="宋体" w:cs="Times New Roman"/>
          <w:color w:val="000000"/>
          <w:kern w:val="0"/>
          <w:sz w:val="16"/>
          <w:szCs w:val="16"/>
        </w:rPr>
        <w:t>ESRD</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end-stage renal disease.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after="156" w:after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1" cstate="print"/>
                          <a:srcRect l="3164" t="6153" b="8690"/>
                          <a:stretch>
                            <a:fillRect/>
                          </a:stretch>
                        </pic:blipFill>
                        <pic:spPr>
                          <a:xfrm>
                            <a:off x="0" y="0"/>
                            <a:ext cx="2377440" cy="156781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2" cstate="print"/>
                          <a:srcRect/>
                          <a:stretch>
                            <a:fillRect/>
                          </a:stretch>
                        </pic:blipFill>
                        <pic:spPr>
                          <a:xfrm>
                            <a:off x="0" y="0"/>
                            <a:ext cx="2377440" cy="156781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3" cstate="print"/>
                          <a:stretch>
                            <a:fillRect/>
                          </a:stretch>
                        </pic:blipFill>
                        <pic:spPr>
                          <a:xfrm>
                            <a:off x="0" y="0"/>
                            <a:ext cx="2486660" cy="1637665"/>
                          </a:xfrm>
                          <a:prstGeom prst="rect">
                            <a:avLst/>
                          </a:prstGeom>
                        </pic:spPr>
                      </pic:pic>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w:t>
      </w:r>
      <w:r>
        <w:rPr>
          <w:rFonts w:hint="eastAsia" w:ascii="Times New Roman" w:hAnsi="Times New Roman" w:eastAsia="宋体" w:cs="Times New Roman"/>
          <w:color w:val="000000"/>
          <w:kern w:val="0"/>
          <w:sz w:val="20"/>
          <w:szCs w:val="20"/>
        </w:rPr>
        <w:t>flow diagram</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forest plot</w:t>
      </w:r>
      <w:r>
        <w:rPr>
          <w:rFonts w:ascii="Times New Roman" w:hAnsi="Times New Roman" w:eastAsia="宋体" w:cs="Times New Roman"/>
          <w:color w:val="000000"/>
          <w:kern w:val="0"/>
          <w:sz w:val="20"/>
          <w:szCs w:val="20"/>
        </w:rPr>
        <w:t xml:space="preserve"> and </w:t>
      </w:r>
      <w:r>
        <w:rPr>
          <w:rFonts w:hint="eastAsia" w:ascii="Times New Roman" w:hAnsi="Times New Roman" w:eastAsia="宋体" w:cs="Times New Roman"/>
          <w:color w:val="000000"/>
          <w:kern w:val="0"/>
          <w:sz w:val="20"/>
          <w:szCs w:val="20"/>
        </w:rPr>
        <w:t>funnel</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plot</w:t>
      </w:r>
      <w:r>
        <w:rPr>
          <w:rFonts w:ascii="Times New Roman" w:hAnsi="Times New Roman" w:eastAsia="宋体"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w:t>
      </w:r>
      <w:r>
        <w:rPr>
          <w:rFonts w:hint="eastAsia" w:ascii="Times New Roman" w:hAnsi="Times New Roman" w:cs="Times New Roman"/>
          <w:sz w:val="20"/>
          <w:szCs w:val="20"/>
        </w:rPr>
        <w:t>CI</w:t>
      </w:r>
      <w:r>
        <w:rPr>
          <w:rFonts w:ascii="Times New Roman" w:hAnsi="Times New Roman" w:cs="Times New Roman"/>
          <w:sz w:val="20"/>
          <w:szCs w:val="20"/>
        </w:rPr>
        <w:t xml:space="preserve">: </w:t>
      </w:r>
      <w:r>
        <w:rPr>
          <w:rFonts w:hint="eastAsia" w:ascii="Times New Roman" w:hAnsi="Times New Roman" w:cs="Times New Roman"/>
          <w:sz w:val="20"/>
          <w:szCs w:val="20"/>
        </w:rPr>
        <w:t>confidence interval</w:t>
      </w:r>
      <w:r>
        <w:rPr>
          <w:rFonts w:ascii="Times New Roman" w:hAnsi="Times New Roman" w:cs="Times New Roman"/>
          <w:sz w:val="20"/>
          <w:szCs w:val="20"/>
        </w:rPr>
        <w:t xml:space="preserve">; </w:t>
      </w:r>
      <w:r>
        <w:rPr>
          <w:rFonts w:hint="eastAsia" w:ascii="Times New Roman" w:hAnsi="Times New Roman" w:cs="Times New Roman"/>
          <w:sz w:val="20"/>
          <w:szCs w:val="20"/>
        </w:rPr>
        <w:t>SE</w:t>
      </w:r>
      <w:r>
        <w:rPr>
          <w:rFonts w:ascii="Times New Roman" w:hAnsi="Times New Roman" w:cs="Times New Roman"/>
          <w:sz w:val="20"/>
          <w:szCs w:val="20"/>
        </w:rPr>
        <w:t xml:space="preserve">: </w:t>
      </w:r>
      <w:r>
        <w:rPr>
          <w:rFonts w:hint="eastAsia" w:ascii="Times New Roman" w:hAnsi="Times New Roman" w:cs="Times New Roman"/>
          <w:sz w:val="20"/>
          <w:szCs w:val="20"/>
        </w:rPr>
        <w:t>standard error; OR: odds ratio</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4" w:name="OLE_LINK15"/>
      <w:bookmarkStart w:id="5"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4"/>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6" w:name="OLE_LINK10"/>
      <w:bookmarkStart w:id="7" w:name="OLE_LINK11"/>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23</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bookmarkStart w:id="10" w:name="OLE_LINK19"/>
      <w:bookmarkStart w:id="11" w:name="OLE_LINK20"/>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five</w:t>
      </w:r>
      <w:r>
        <w:rPr>
          <w:rFonts w:ascii="Times New Roman" w:hAnsi="Times New Roman" w:eastAsia="宋体" w:cs="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 Skelly JM, Anderson SJ</w:t>
      </w:r>
      <w:r>
        <w:rPr>
          <w:rFonts w:hint="eastAsia" w:ascii="Times New Roman" w:hAnsi="Times New Roman" w:eastAsia="宋体" w:cs="Times New Roman"/>
          <w:color w:val="000000"/>
          <w:kern w:val="0"/>
          <w:sz w:val="20"/>
          <w:szCs w:val="20"/>
        </w:rPr>
        <w:t>,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Cs/>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w:t>
      </w:r>
      <w:bookmarkStart w:id="12" w:name="OLE_LINK7"/>
      <w:bookmarkStart w:id="13" w:name="OLE_LINK8"/>
      <w:r>
        <w:rPr>
          <w:rFonts w:ascii="Times New Roman" w:hAnsi="Times New Roman" w:eastAsia="宋体" w:cs="Times New Roman"/>
          <w:color w:val="000000"/>
          <w:kern w:val="0"/>
          <w:sz w:val="20"/>
          <w:szCs w:val="20"/>
        </w:rPr>
        <w:t>Hypertension, insulin, and proinsulin in participants with impaired glucose tolerance</w:t>
      </w:r>
      <w:bookmarkEnd w:id="12"/>
      <w:bookmarkEnd w:id="13"/>
      <w:r>
        <w:rPr>
          <w:rFonts w:ascii="Times New Roman" w:hAnsi="Times New Roman" w:eastAsia="宋体" w:cs="Times New Roman"/>
          <w:color w:val="000000"/>
          <w:kern w:val="0"/>
          <w:sz w:val="20"/>
          <w:szCs w:val="20"/>
        </w:rPr>
        <w:t>. Hypertension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w:t>
      </w:r>
      <w:bookmarkStart w:id="15" w:name="_GoBack"/>
      <w:r>
        <w:rPr>
          <w:rFonts w:ascii="Times New Roman" w:hAnsi="Times New Roman" w:eastAsia="宋体" w:cs="Times New Roman"/>
          <w:color w:val="000000"/>
          <w:kern w:val="0"/>
          <w:sz w:val="20"/>
          <w:szCs w:val="20"/>
        </w:rPr>
        <w:t>2018</w:t>
      </w:r>
      <w:bookmarkEnd w:id="15"/>
      <w:r>
        <w:rPr>
          <w:rFonts w:ascii="Times New Roman" w:hAnsi="Times New Roman" w:eastAsia="宋体" w:cs="Times New Roman"/>
          <w:color w:val="000000"/>
          <w:kern w:val="0"/>
          <w:sz w:val="20"/>
          <w:szCs w:val="20"/>
        </w:rPr>
        <w:t xml:space="preserve">;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182-91.</w:t>
      </w:r>
    </w:p>
    <w:bookmarkEnd w:id="10"/>
    <w:bookmarkEnd w:id="11"/>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lang w:eastAsia="zh-CN"/>
      </w:rPr>
      <w:t>2023</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"http://www.parjournal.net" </w:instrText>
    </w:r>
    <w:r>
      <w:fldChar w:fldCharType="separate"/>
    </w:r>
    <w:r>
      <w:rPr>
        <w:rStyle w:val="13"/>
        <w:rFonts w:hint="eastAsia"/>
        <w:b/>
        <w:bCs/>
        <w:sz w:val="16"/>
        <w:szCs w:val="16"/>
        <w:u w:val="none"/>
      </w:rPr>
      <w:t>www.parjournal.net</w:t>
    </w:r>
    <w:r>
      <w:rPr>
        <w:rStyle w:val="13"/>
        <w:rFonts w:hint="eastAsia"/>
        <w:b/>
        <w:bCs/>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4"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Plast Aesthet Res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2347-9264</w:t>
    </w:r>
    <w:r>
      <w:rPr>
        <w:rFonts w:ascii="Times New Roman" w:hAnsi="Times New Roman" w:cs="Times New Roman"/>
        <w:sz w:val="16"/>
        <w:szCs w:val="16"/>
      </w:rPr>
      <w:t>.xxxx.xx</w:t>
    </w:r>
    <w:bookmarkEnd w:id="14"/>
    <w:r>
      <w:rPr>
        <w:rFonts w:ascii="Times New Roman" w:hAnsi="Times New Roman" w:cs="Times New Roman"/>
        <w:sz w:val="16"/>
        <w:szCs w:val="16"/>
      </w:rPr>
      <w:pict>
        <v:shape id="文本框 4" o:spid="_x0000_s4097" o:spt="202" type="#_x0000_t202" style="position:absolute;left:0pt;margin-left:235.55pt;margin-top:-9.85pt;height:37.95pt;width:191.05pt;z-index:251660288;mso-width-relative:page;mso-height-relative:page;" filled="f" stroked="f" coordsize="21600,21600"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JyZt7ZAAAA&#10;CgEAAA8AAAAAAAAAAQAgAAAAIgAAAGRycy9kb3ducmV2LnhtbFBLAQIUABQAAAAIAIdO4kB3xSAt&#10;qgEAACADAAAOAAAAAAAAAAEAIAAAACgBAABkcnMvZTJvRG9jLnhtbFBLBQYAAAAABgAGAFkBAABE&#10;BQAAAAA=&#10;">
          <v:path/>
          <v:fill on="f" focussize="0,0"/>
          <v:stroke on="f" joinstyle="miter"/>
          <v:imagedata o:title=""/>
          <o:lock v:ext="edit"/>
          <v:textbox>
            <w:txbxContent>
              <w:p>
                <w:pPr>
                  <w:jc w:val="right"/>
                </w:pPr>
                <w:r>
                  <w:rPr>
                    <w:rFonts w:hint="eastAsia" w:ascii="Arial" w:hAnsi="Arial"/>
                    <w:b/>
                    <w:color w:val="003F9A"/>
                    <w:sz w:val="26"/>
                    <w:szCs w:val="26"/>
                  </w:rPr>
                  <w:t xml:space="preserve">          Plastic and Aesthetic Research</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Q3MTIxZDZlMWE5YzAxNDBiNjcxMmQ4NTIzMDYyYTIifQ=="/>
  </w:docVars>
  <w:rsids>
    <w:rsidRoot w:val="00172A27"/>
    <w:rsid w:val="000178BA"/>
    <w:rsid w:val="00030B75"/>
    <w:rsid w:val="0003284A"/>
    <w:rsid w:val="000D5EBD"/>
    <w:rsid w:val="000E021D"/>
    <w:rsid w:val="001522FB"/>
    <w:rsid w:val="00172A27"/>
    <w:rsid w:val="0019510B"/>
    <w:rsid w:val="0027022E"/>
    <w:rsid w:val="00273491"/>
    <w:rsid w:val="00331E76"/>
    <w:rsid w:val="003608FF"/>
    <w:rsid w:val="003B627D"/>
    <w:rsid w:val="003D2452"/>
    <w:rsid w:val="00416D9A"/>
    <w:rsid w:val="00423880"/>
    <w:rsid w:val="00497675"/>
    <w:rsid w:val="004F52CE"/>
    <w:rsid w:val="005570D9"/>
    <w:rsid w:val="00637595"/>
    <w:rsid w:val="00652938"/>
    <w:rsid w:val="00691785"/>
    <w:rsid w:val="006C5808"/>
    <w:rsid w:val="00720864"/>
    <w:rsid w:val="00782BF9"/>
    <w:rsid w:val="007C1447"/>
    <w:rsid w:val="007D1FD5"/>
    <w:rsid w:val="008075EB"/>
    <w:rsid w:val="00842C21"/>
    <w:rsid w:val="00896066"/>
    <w:rsid w:val="008A495C"/>
    <w:rsid w:val="00903C43"/>
    <w:rsid w:val="00921419"/>
    <w:rsid w:val="009B7F19"/>
    <w:rsid w:val="00A05291"/>
    <w:rsid w:val="00A37A37"/>
    <w:rsid w:val="00B0224A"/>
    <w:rsid w:val="00B3154F"/>
    <w:rsid w:val="00B3393B"/>
    <w:rsid w:val="00B42AC5"/>
    <w:rsid w:val="00B74EF5"/>
    <w:rsid w:val="00B90823"/>
    <w:rsid w:val="00BB3538"/>
    <w:rsid w:val="00C5076C"/>
    <w:rsid w:val="00C6365E"/>
    <w:rsid w:val="00CA2500"/>
    <w:rsid w:val="00D16246"/>
    <w:rsid w:val="00DF5C43"/>
    <w:rsid w:val="00E31605"/>
    <w:rsid w:val="00E507C5"/>
    <w:rsid w:val="00EA21CF"/>
    <w:rsid w:val="00EE548B"/>
    <w:rsid w:val="00F37CB8"/>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796B54"/>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C5727D"/>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2D22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C760CF"/>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9F25CB"/>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05ADC"/>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90F30"/>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9E102B"/>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473532"/>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2098</Words>
  <Characters>12023</Characters>
  <Lines>105</Lines>
  <Paragraphs>29</Paragraphs>
  <TotalTime>6</TotalTime>
  <ScaleCrop>false</ScaleCrop>
  <LinksUpToDate>false</LinksUpToDate>
  <CharactersWithSpaces>13972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2018-11-26T08:48:00Z</dcterms:created>
  <dc:creator>A</dc:creator>
  <cp:lastModifiedBy>Lilia</cp:lastModifiedBy>
  <dcterms:modified xsi:type="dcterms:W3CDTF">2023-05-06T08:41:13Z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93E8CDE4C27E4D54B4CED60005566A14</vt:lpwstr>
  </property>
</Properties>
</file>